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1B5529" w:rsidRDefault="00816727" w:rsidP="00816727">
      <w:pPr>
        <w:spacing w:after="0" w:line="240" w:lineRule="auto"/>
        <w:ind w:left="-284" w:firstLine="568"/>
        <w:jc w:val="both"/>
        <w:rPr>
          <w:rFonts w:ascii="Arial" w:eastAsia="Calibri" w:hAnsi="Arial" w:cs="Arial"/>
          <w:sz w:val="20"/>
          <w:szCs w:val="20"/>
        </w:rPr>
      </w:pPr>
      <w:r w:rsidRPr="001B5529">
        <w:rPr>
          <w:rFonts w:ascii="Arial" w:eastAsia="Calibri" w:hAnsi="Arial" w:cs="Arial"/>
          <w:sz w:val="20"/>
          <w:szCs w:val="20"/>
        </w:rPr>
        <w:t>Odpowiadając na Państwa pytania dotyczące przetargu nieograniczonego na</w:t>
      </w:r>
      <w:r w:rsidRPr="001B5529">
        <w:rPr>
          <w:rFonts w:ascii="Arial" w:eastAsia="Times New Roman" w:hAnsi="Arial" w:cs="Arial"/>
          <w:sz w:val="20"/>
          <w:szCs w:val="20"/>
          <w:lang w:eastAsia="pl-PL"/>
        </w:rPr>
        <w:t xml:space="preserve"> dostawę leków dla SP ZOZ MSW w Koszalinie </w:t>
      </w:r>
      <w:r w:rsidRPr="001B5529">
        <w:rPr>
          <w:rFonts w:ascii="Arial" w:eastAsia="Calibri" w:hAnsi="Arial" w:cs="Arial"/>
          <w:sz w:val="20"/>
          <w:szCs w:val="20"/>
        </w:rPr>
        <w:t>uprzejmie informujemy, co następuje:</w:t>
      </w:r>
    </w:p>
    <w:p w:rsidR="001B5529" w:rsidRPr="001B5529" w:rsidRDefault="001B5529" w:rsidP="00816727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</w:rPr>
        <w:t>Pytanie 1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>Czy w trosce o uzyskanie najkorzystniejszych warunków zakupu Zamawiający wyrazi zgodę na zaoferowanie w pakiecie 2 poz.1,7,  preparatu o takim samym zastosowaniu klinicznym  w workach z dwoma niezależnymi portami, ponieważ: zastosowanie opakowań typu worek może w znaczny sposób wpłynąć na zmniejszenie ilości zakażeń związanych z linią naczyniową, Redukcja zakażeń ma bezpośredni wpływ na bezpieczeństwo pacjentów, personelu oraz zmniejszenie kosztów, również tych związanych z ewentualnymi roszczeniami ze strony pacjentów. Koszty utylizacji  i składowania odpadów opróżnionych worków są niższe niż  opróżnionych butelek i maja mniejszą kubaturę.</w:t>
      </w:r>
    </w:p>
    <w:p w:rsid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1B5529">
        <w:rPr>
          <w:rFonts w:ascii="Arial" w:hAnsi="Arial" w:cs="Arial"/>
          <w:b/>
          <w:sz w:val="20"/>
          <w:szCs w:val="20"/>
        </w:rPr>
        <w:t xml:space="preserve"> TAK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</w:rPr>
        <w:t>Pytanie 2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>Czy w trosce o uzyskanie najkorzystniejszych warunków zakupu Zamawiający wyrazi zgodę na zaoferowanie w pakiecie 2  poz. 9 opakowania PE bez portów?</w:t>
      </w:r>
    </w:p>
    <w:p w:rsid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  <w:u w:val="single"/>
        </w:rPr>
        <w:t>Odpowiedź:</w:t>
      </w:r>
      <w:r w:rsidRPr="001B5529">
        <w:rPr>
          <w:rFonts w:ascii="Arial" w:hAnsi="Arial" w:cs="Arial"/>
          <w:b/>
          <w:sz w:val="20"/>
          <w:szCs w:val="20"/>
        </w:rPr>
        <w:t xml:space="preserve">  NIE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</w:rPr>
        <w:t>Pytanie 3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 xml:space="preserve">Czy Zamawiający wyrazi zgodę na zaoferowanie w pakiecie 2, pozycji 15,16 preparatu Mannitol o stężeniu 15% w opakowaniu typu worek </w:t>
      </w:r>
      <w:proofErr w:type="spellStart"/>
      <w:r w:rsidRPr="001B5529">
        <w:rPr>
          <w:rFonts w:ascii="Arial" w:hAnsi="Arial" w:cs="Arial"/>
          <w:sz w:val="20"/>
          <w:szCs w:val="20"/>
        </w:rPr>
        <w:t>Viaflo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, o pojemności 100ml, 250ml, ponieważ: 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 xml:space="preserve">·  Mannitol 15 % i 20%  mają wskazania do stosowania  w tych samych jednostkach chorobowych a dawkowanie mieści  się  w  rozpiętości  zakresu </w:t>
      </w:r>
      <w:proofErr w:type="spellStart"/>
      <w:r w:rsidRPr="001B5529">
        <w:rPr>
          <w:rFonts w:ascii="Arial" w:hAnsi="Arial" w:cs="Arial"/>
          <w:sz w:val="20"/>
          <w:szCs w:val="20"/>
        </w:rPr>
        <w:t>terapetycznego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leku 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>·  Roztwory Mannitolu 15%  nie krystalizują podczas przechowywania w temperaturze pokojowej (w przeciwieństwie do mannitolu 20%), a zatem  może być gotowy do użycia bez czasochłonnego  rozpuszczania   w gorącej  kąpieli wodnej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 xml:space="preserve">·  Nadruk informacji o leku  na worku </w:t>
      </w:r>
      <w:proofErr w:type="spellStart"/>
      <w:r w:rsidRPr="001B5529">
        <w:rPr>
          <w:rFonts w:ascii="Arial" w:hAnsi="Arial" w:cs="Arial"/>
          <w:sz w:val="20"/>
          <w:szCs w:val="20"/>
        </w:rPr>
        <w:t>Viaflo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  zabezpiecza użytkownika przed  odklejeniem  etykiety oznakowania leku przez co zmniejsza  możliwość  </w:t>
      </w:r>
      <w:proofErr w:type="spellStart"/>
      <w:r w:rsidRPr="001B5529">
        <w:rPr>
          <w:rFonts w:ascii="Arial" w:hAnsi="Arial" w:cs="Arial"/>
          <w:sz w:val="20"/>
          <w:szCs w:val="20"/>
        </w:rPr>
        <w:t>wystapienia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pomyłki 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 xml:space="preserve">Mannitol 15% w worku </w:t>
      </w:r>
      <w:proofErr w:type="spellStart"/>
      <w:r w:rsidRPr="001B5529">
        <w:rPr>
          <w:rFonts w:ascii="Arial" w:hAnsi="Arial" w:cs="Arial"/>
          <w:sz w:val="20"/>
          <w:szCs w:val="20"/>
        </w:rPr>
        <w:t>Viaflo</w:t>
      </w:r>
      <w:proofErr w:type="spellEnd"/>
      <w:r w:rsidRPr="001B5529">
        <w:rPr>
          <w:rFonts w:ascii="Arial" w:hAnsi="Arial" w:cs="Arial"/>
          <w:sz w:val="20"/>
          <w:szCs w:val="20"/>
        </w:rPr>
        <w:t>  eliminuje  ryzyko  stłuczenia opakowania oraz zapewnia łatwość zawieszenia przy pacjencie ze względu na wieszak stanowiący integralną część worka.</w:t>
      </w:r>
    </w:p>
    <w:p w:rsid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  <w:u w:val="single"/>
        </w:rPr>
        <w:t xml:space="preserve">Odpowiedź: </w:t>
      </w:r>
      <w:r w:rsidRPr="001B5529">
        <w:rPr>
          <w:rFonts w:ascii="Arial" w:hAnsi="Arial" w:cs="Arial"/>
          <w:b/>
          <w:sz w:val="20"/>
          <w:szCs w:val="20"/>
        </w:rPr>
        <w:t xml:space="preserve"> NIE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</w:rPr>
        <w:t>Pytanie 4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 xml:space="preserve">Czy Zamawiający wyrazi zgodę na zaoferowanie w pakiecie 2 poz. 28 nowoczesnego płynu wieloelektrolitowego </w:t>
      </w:r>
      <w:proofErr w:type="spellStart"/>
      <w:r w:rsidRPr="001B5529">
        <w:rPr>
          <w:rFonts w:ascii="Arial" w:hAnsi="Arial" w:cs="Arial"/>
          <w:sz w:val="20"/>
          <w:szCs w:val="20"/>
        </w:rPr>
        <w:t>Plasmalyte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500ml / 1000ml  w opakowaniu worek </w:t>
      </w:r>
      <w:proofErr w:type="spellStart"/>
      <w:r w:rsidRPr="001B5529">
        <w:rPr>
          <w:rFonts w:ascii="Arial" w:hAnsi="Arial" w:cs="Arial"/>
          <w:sz w:val="20"/>
          <w:szCs w:val="20"/>
        </w:rPr>
        <w:t>Viaflo</w:t>
      </w:r>
      <w:proofErr w:type="spellEnd"/>
      <w:r w:rsidRPr="001B5529">
        <w:rPr>
          <w:rFonts w:ascii="Arial" w:hAnsi="Arial" w:cs="Arial"/>
          <w:sz w:val="20"/>
          <w:szCs w:val="20"/>
        </w:rPr>
        <w:t>?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>Uzasadnienie: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proofErr w:type="spellStart"/>
      <w:r w:rsidRPr="001B5529">
        <w:rPr>
          <w:rFonts w:ascii="Arial" w:hAnsi="Arial" w:cs="Arial"/>
          <w:sz w:val="20"/>
          <w:szCs w:val="20"/>
        </w:rPr>
        <w:t>PlasmaLyte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jest izotonicznym płynem wieloelektrolitowym o fizjologicznym składzie i fizjologicznym </w:t>
      </w:r>
      <w:proofErr w:type="spellStart"/>
      <w:r w:rsidRPr="001B5529">
        <w:rPr>
          <w:rFonts w:ascii="Arial" w:hAnsi="Arial" w:cs="Arial"/>
          <w:sz w:val="20"/>
          <w:szCs w:val="20"/>
        </w:rPr>
        <w:t>Ph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oraz fizjologicznej </w:t>
      </w:r>
      <w:proofErr w:type="spellStart"/>
      <w:r w:rsidRPr="001B5529">
        <w:rPr>
          <w:rFonts w:ascii="Arial" w:hAnsi="Arial" w:cs="Arial"/>
          <w:sz w:val="20"/>
          <w:szCs w:val="20"/>
        </w:rPr>
        <w:t>osmolmarności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. Elektrolity  </w:t>
      </w:r>
      <w:proofErr w:type="spellStart"/>
      <w:r w:rsidRPr="001B5529">
        <w:rPr>
          <w:rFonts w:ascii="Arial" w:hAnsi="Arial" w:cs="Arial"/>
          <w:sz w:val="20"/>
          <w:szCs w:val="20"/>
        </w:rPr>
        <w:t>wchodzace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w skład  </w:t>
      </w:r>
      <w:proofErr w:type="spellStart"/>
      <w:r w:rsidRPr="001B5529">
        <w:rPr>
          <w:rFonts w:ascii="Arial" w:hAnsi="Arial" w:cs="Arial"/>
          <w:sz w:val="20"/>
          <w:szCs w:val="20"/>
        </w:rPr>
        <w:t>Plasmalyte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529">
        <w:rPr>
          <w:rFonts w:ascii="Arial" w:hAnsi="Arial" w:cs="Arial"/>
          <w:sz w:val="20"/>
          <w:szCs w:val="20"/>
        </w:rPr>
        <w:t>sa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 tak dobrane, aby odpowiadały składowi osocza. 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B5529">
        <w:rPr>
          <w:rFonts w:ascii="Arial" w:hAnsi="Arial" w:cs="Arial"/>
          <w:sz w:val="20"/>
          <w:szCs w:val="20"/>
        </w:rPr>
        <w:t>Posiada podwójny układ buforowy (octan/</w:t>
      </w:r>
      <w:proofErr w:type="spellStart"/>
      <w:r w:rsidRPr="001B5529">
        <w:rPr>
          <w:rFonts w:ascii="Arial" w:hAnsi="Arial" w:cs="Arial"/>
          <w:sz w:val="20"/>
          <w:szCs w:val="20"/>
        </w:rPr>
        <w:t>glukonian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). Nie zawiera jonów wapnia, co zwiększa kompatybilność z krwią i lekami. </w:t>
      </w:r>
      <w:proofErr w:type="spellStart"/>
      <w:r w:rsidRPr="001B5529">
        <w:rPr>
          <w:rFonts w:ascii="Arial" w:hAnsi="Arial" w:cs="Arial"/>
          <w:sz w:val="20"/>
          <w:szCs w:val="20"/>
        </w:rPr>
        <w:t>PlasmaLyte</w:t>
      </w:r>
      <w:proofErr w:type="spellEnd"/>
      <w:r w:rsidRPr="001B5529">
        <w:rPr>
          <w:rFonts w:ascii="Arial" w:hAnsi="Arial" w:cs="Arial"/>
          <w:sz w:val="20"/>
          <w:szCs w:val="20"/>
        </w:rPr>
        <w:t xml:space="preserve">  posiada  w składzie elektrolitowym  (w </w:t>
      </w:r>
      <w:proofErr w:type="spellStart"/>
      <w:r w:rsidRPr="001B5529">
        <w:rPr>
          <w:rFonts w:ascii="Arial" w:hAnsi="Arial" w:cs="Arial"/>
          <w:sz w:val="20"/>
          <w:szCs w:val="20"/>
        </w:rPr>
        <w:t>mmol</w:t>
      </w:r>
      <w:proofErr w:type="spellEnd"/>
      <w:r w:rsidRPr="001B5529">
        <w:rPr>
          <w:rFonts w:ascii="Arial" w:hAnsi="Arial" w:cs="Arial"/>
          <w:sz w:val="20"/>
          <w:szCs w:val="20"/>
        </w:rPr>
        <w:t>/l): Cl  98, Na 140, K 5.</w:t>
      </w:r>
    </w:p>
    <w:p w:rsidR="001B5529" w:rsidRPr="001B5529" w:rsidRDefault="001B5529" w:rsidP="001B5529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B5529">
        <w:rPr>
          <w:rFonts w:ascii="Arial" w:hAnsi="Arial" w:cs="Arial"/>
          <w:b/>
          <w:sz w:val="20"/>
          <w:szCs w:val="20"/>
          <w:u w:val="single"/>
        </w:rPr>
        <w:t>Odpowiedź</w:t>
      </w:r>
      <w:r w:rsidRPr="001B5529">
        <w:rPr>
          <w:rFonts w:ascii="Arial" w:hAnsi="Arial" w:cs="Arial"/>
          <w:b/>
          <w:sz w:val="20"/>
          <w:szCs w:val="20"/>
        </w:rPr>
        <w:t>: TAK</w:t>
      </w:r>
    </w:p>
    <w:p w:rsidR="00DE7817" w:rsidRPr="001B5529" w:rsidRDefault="00DE7817" w:rsidP="001B552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7817" w:rsidRPr="001B5529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B5529"/>
    <w:rsid w:val="001C4A6E"/>
    <w:rsid w:val="001D323F"/>
    <w:rsid w:val="001E182F"/>
    <w:rsid w:val="001E1EBA"/>
    <w:rsid w:val="001E68F7"/>
    <w:rsid w:val="001F3D62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58E8"/>
    <w:rsid w:val="004D55FD"/>
    <w:rsid w:val="00521B15"/>
    <w:rsid w:val="00527005"/>
    <w:rsid w:val="00533A9F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C71"/>
    <w:rsid w:val="006008AF"/>
    <w:rsid w:val="00602C39"/>
    <w:rsid w:val="00637452"/>
    <w:rsid w:val="00642595"/>
    <w:rsid w:val="006509C3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D40FC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76036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7A55"/>
    <w:rsid w:val="00A1029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6</cp:revision>
  <cp:lastPrinted>2016-12-08T08:59:00Z</cp:lastPrinted>
  <dcterms:created xsi:type="dcterms:W3CDTF">2016-12-16T13:39:00Z</dcterms:created>
  <dcterms:modified xsi:type="dcterms:W3CDTF">2016-12-19T07:45:00Z</dcterms:modified>
</cp:coreProperties>
</file>